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E54" w:rsidRDefault="00914E54" w:rsidP="00914E54">
      <w:pPr>
        <w:jc w:val="right"/>
        <w:rPr>
          <w:rFonts w:ascii="Sylfaen" w:hAnsi="Sylfaen"/>
          <w:sz w:val="24"/>
          <w:szCs w:val="24"/>
        </w:rPr>
      </w:pPr>
      <w:bookmarkStart w:id="0" w:name="_GoBack"/>
      <w:bookmarkEnd w:id="0"/>
      <w:proofErr w:type="spellStart"/>
      <w:r>
        <w:rPr>
          <w:rFonts w:ascii="Sylfaen" w:hAnsi="Sylfaen"/>
          <w:sz w:val="24"/>
          <w:szCs w:val="24"/>
        </w:rPr>
        <w:t>Angner</w:t>
      </w:r>
      <w:proofErr w:type="spellEnd"/>
      <w:r>
        <w:rPr>
          <w:rFonts w:ascii="Sylfaen" w:hAnsi="Sylfaen"/>
          <w:sz w:val="24"/>
          <w:szCs w:val="24"/>
        </w:rPr>
        <w:t xml:space="preserve"> Reyes</w:t>
      </w:r>
    </w:p>
    <w:p w:rsidR="00914E54" w:rsidRPr="00914E54" w:rsidRDefault="00914E54" w:rsidP="00914E54">
      <w:pPr>
        <w:jc w:val="right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September 8, 2010</w:t>
      </w:r>
    </w:p>
    <w:p w:rsidR="003A094F" w:rsidRPr="003A094F" w:rsidRDefault="00914E54" w:rsidP="00DA5C35">
      <w:pPr>
        <w:jc w:val="center"/>
        <w:rPr>
          <w:rFonts w:ascii="Sylfaen" w:hAnsi="Sylfaen"/>
          <w:sz w:val="24"/>
          <w:szCs w:val="24"/>
          <w:u w:val="single"/>
        </w:rPr>
      </w:pPr>
      <w:r>
        <w:rPr>
          <w:rFonts w:ascii="Sylfaen" w:hAnsi="Sylfaen"/>
          <w:sz w:val="24"/>
          <w:szCs w:val="24"/>
          <w:u w:val="single"/>
        </w:rPr>
        <w:t>Paraphrasing</w:t>
      </w:r>
    </w:p>
    <w:p w:rsidR="00914E54" w:rsidRPr="00914E54" w:rsidRDefault="00DA5C35" w:rsidP="00DA5C35">
      <w:pPr>
        <w:pStyle w:val="ListParagraph"/>
        <w:numPr>
          <w:ilvl w:val="0"/>
          <w:numId w:val="1"/>
        </w:numPr>
        <w:rPr>
          <w:rFonts w:ascii="Sylfaen" w:hAnsi="Sylfaen"/>
          <w:sz w:val="24"/>
          <w:szCs w:val="24"/>
        </w:rPr>
      </w:pPr>
      <w:r w:rsidRPr="00914E54">
        <w:rPr>
          <w:rFonts w:ascii="Sylfaen" w:hAnsi="Sylfaen"/>
          <w:b/>
          <w:sz w:val="20"/>
          <w:szCs w:val="20"/>
        </w:rPr>
        <w:t>Q</w:t>
      </w:r>
      <w:r w:rsidRPr="00914E54">
        <w:rPr>
          <w:rFonts w:ascii="Sylfaen" w:hAnsi="Sylfaen"/>
          <w:sz w:val="20"/>
          <w:szCs w:val="20"/>
        </w:rPr>
        <w:t xml:space="preserve">-“The popular phrase </w:t>
      </w:r>
      <w:r w:rsidRPr="00914E54">
        <w:rPr>
          <w:rFonts w:ascii="Sylfaen" w:hAnsi="Sylfaen"/>
          <w:i/>
          <w:sz w:val="20"/>
          <w:szCs w:val="20"/>
        </w:rPr>
        <w:t xml:space="preserve">overcoming a </w:t>
      </w:r>
      <w:r w:rsidRPr="00914E54">
        <w:rPr>
          <w:rFonts w:ascii="Sylfaen" w:hAnsi="Sylfaen"/>
          <w:sz w:val="20"/>
          <w:szCs w:val="20"/>
        </w:rPr>
        <w:t>disability is used most often to describe someone with a disability who seems competent and successful in some way, in a sentence something like, “She has overcome her disability and is a great success”.” (Linton 228)</w:t>
      </w:r>
      <w:r>
        <w:rPr>
          <w:rFonts w:ascii="Sylfaen" w:hAnsi="Sylfaen"/>
        </w:rPr>
        <w:t xml:space="preserve">       </w:t>
      </w:r>
      <w:r w:rsidR="00914E54">
        <w:rPr>
          <w:rFonts w:ascii="Sylfaen" w:hAnsi="Sylfaen"/>
        </w:rPr>
        <w:t xml:space="preserve">                               </w:t>
      </w:r>
    </w:p>
    <w:p w:rsidR="00B3699D" w:rsidRPr="00DA5C35" w:rsidRDefault="00914E54" w:rsidP="00914E54">
      <w:pPr>
        <w:pStyle w:val="ListParagraph"/>
        <w:rPr>
          <w:rFonts w:ascii="Sylfaen" w:hAnsi="Sylfaen"/>
          <w:sz w:val="24"/>
          <w:szCs w:val="24"/>
        </w:rPr>
      </w:pPr>
      <w:r>
        <w:rPr>
          <w:rFonts w:ascii="Sylfaen" w:hAnsi="Sylfaen"/>
          <w:b/>
        </w:rPr>
        <w:t>P-</w:t>
      </w:r>
      <w:r w:rsidR="00DA5C35" w:rsidRPr="00DA5C35">
        <w:rPr>
          <w:rFonts w:ascii="Sylfaen" w:hAnsi="Sylfaen"/>
          <w:sz w:val="24"/>
          <w:szCs w:val="24"/>
        </w:rPr>
        <w:t xml:space="preserve">A </w:t>
      </w:r>
      <w:r w:rsidR="00746348" w:rsidRPr="00DA5C35">
        <w:rPr>
          <w:rFonts w:ascii="Sylfaen" w:hAnsi="Sylfaen"/>
          <w:sz w:val="24"/>
          <w:szCs w:val="24"/>
        </w:rPr>
        <w:t xml:space="preserve">commonly used phrase </w:t>
      </w:r>
      <w:r w:rsidR="00746348" w:rsidRPr="00DA5C35">
        <w:rPr>
          <w:rFonts w:ascii="Sylfaen" w:hAnsi="Sylfaen"/>
          <w:i/>
          <w:sz w:val="24"/>
          <w:szCs w:val="24"/>
        </w:rPr>
        <w:t xml:space="preserve">overcoming disability </w:t>
      </w:r>
      <w:r w:rsidR="00746348" w:rsidRPr="00DA5C35">
        <w:rPr>
          <w:rFonts w:ascii="Sylfaen" w:hAnsi="Sylfaen"/>
          <w:sz w:val="24"/>
          <w:szCs w:val="24"/>
        </w:rPr>
        <w:t xml:space="preserve">is many times used to describe a person with a disability who has </w:t>
      </w:r>
      <w:r w:rsidR="00A83B8C" w:rsidRPr="00DA5C35">
        <w:rPr>
          <w:rFonts w:ascii="Sylfaen" w:hAnsi="Sylfaen"/>
          <w:sz w:val="24"/>
          <w:szCs w:val="24"/>
        </w:rPr>
        <w:t xml:space="preserve">become </w:t>
      </w:r>
      <w:r w:rsidR="00746348" w:rsidRPr="00DA5C35">
        <w:rPr>
          <w:rFonts w:ascii="Sylfaen" w:hAnsi="Sylfaen"/>
          <w:sz w:val="24"/>
          <w:szCs w:val="24"/>
        </w:rPr>
        <w:t xml:space="preserve">capable and prosperous in their own way, for example </w:t>
      </w:r>
      <w:r w:rsidR="00B910F5">
        <w:rPr>
          <w:rFonts w:ascii="Sylfaen" w:hAnsi="Sylfaen"/>
          <w:sz w:val="24"/>
          <w:szCs w:val="24"/>
        </w:rPr>
        <w:t>“</w:t>
      </w:r>
      <w:r w:rsidR="00A83B8C" w:rsidRPr="00DA5C35">
        <w:rPr>
          <w:rFonts w:ascii="Sylfaen" w:hAnsi="Sylfaen"/>
          <w:sz w:val="24"/>
          <w:szCs w:val="24"/>
        </w:rPr>
        <w:t>He has overcome his disability and now is a very prosperous man.”(Linton 228)</w:t>
      </w:r>
    </w:p>
    <w:p w:rsidR="00914E54" w:rsidRDefault="00914E54" w:rsidP="00A83B8C">
      <w:pPr>
        <w:pStyle w:val="ListParagraph"/>
        <w:numPr>
          <w:ilvl w:val="0"/>
          <w:numId w:val="1"/>
        </w:numPr>
        <w:rPr>
          <w:rFonts w:ascii="Sylfaen" w:hAnsi="Sylfaen"/>
          <w:sz w:val="24"/>
          <w:szCs w:val="24"/>
        </w:rPr>
      </w:pPr>
      <w:r w:rsidRPr="00914E54">
        <w:rPr>
          <w:rFonts w:ascii="Sylfaen" w:hAnsi="Sylfaen"/>
          <w:b/>
          <w:sz w:val="20"/>
          <w:szCs w:val="20"/>
        </w:rPr>
        <w:t>Q-</w:t>
      </w:r>
      <w:r w:rsidRPr="00914E54">
        <w:rPr>
          <w:rFonts w:ascii="Sylfaen" w:hAnsi="Sylfaen"/>
          <w:sz w:val="20"/>
          <w:szCs w:val="20"/>
        </w:rPr>
        <w:t>“Shame and fear are personal burdens, but if these tales are told, we can demonstrate how the personal is indeed the political.</w:t>
      </w:r>
      <w:r w:rsidR="0092260B">
        <w:rPr>
          <w:rFonts w:ascii="Sylfaen" w:hAnsi="Sylfaen"/>
          <w:sz w:val="20"/>
          <w:szCs w:val="20"/>
        </w:rPr>
        <w:t xml:space="preserve"> And further that unexamined connections between the personal and political are the curricular.</w:t>
      </w:r>
      <w:r w:rsidRPr="00914E54">
        <w:rPr>
          <w:rFonts w:ascii="Sylfaen" w:hAnsi="Sylfaen"/>
          <w:sz w:val="20"/>
          <w:szCs w:val="20"/>
        </w:rPr>
        <w:t>”(Linton 230)</w:t>
      </w:r>
      <w:r>
        <w:rPr>
          <w:rFonts w:ascii="Sylfaen" w:hAnsi="Sylfaen"/>
          <w:sz w:val="24"/>
          <w:szCs w:val="24"/>
        </w:rPr>
        <w:t xml:space="preserve">                                            </w:t>
      </w:r>
    </w:p>
    <w:p w:rsidR="00A83B8C" w:rsidRDefault="00914E54" w:rsidP="00914E54">
      <w:pPr>
        <w:pStyle w:val="ListParagrap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P-</w:t>
      </w:r>
      <w:r w:rsidR="00C81870">
        <w:rPr>
          <w:rFonts w:ascii="Sylfaen" w:hAnsi="Sylfaen"/>
          <w:sz w:val="24"/>
          <w:szCs w:val="24"/>
        </w:rPr>
        <w:t xml:space="preserve">Feeling dishonorable and worried </w:t>
      </w:r>
      <w:proofErr w:type="gramStart"/>
      <w:r w:rsidR="00C81870">
        <w:rPr>
          <w:rFonts w:ascii="Sylfaen" w:hAnsi="Sylfaen"/>
          <w:sz w:val="24"/>
          <w:szCs w:val="24"/>
        </w:rPr>
        <w:t>are</w:t>
      </w:r>
      <w:proofErr w:type="gramEnd"/>
      <w:r w:rsidR="00C81870">
        <w:rPr>
          <w:rFonts w:ascii="Sylfaen" w:hAnsi="Sylfaen"/>
          <w:sz w:val="24"/>
          <w:szCs w:val="24"/>
        </w:rPr>
        <w:t xml:space="preserve"> personal issues, but if people tell their stories, we can show how the </w:t>
      </w:r>
      <w:r w:rsidR="00AA539D">
        <w:rPr>
          <w:rFonts w:ascii="Sylfaen" w:hAnsi="Sylfaen"/>
          <w:sz w:val="24"/>
          <w:szCs w:val="24"/>
        </w:rPr>
        <w:t xml:space="preserve">personal is in many ways the political. And furthermore the hidden </w:t>
      </w:r>
      <w:r w:rsidR="00B910F5">
        <w:rPr>
          <w:rFonts w:ascii="Sylfaen" w:hAnsi="Sylfaen"/>
          <w:sz w:val="24"/>
          <w:szCs w:val="24"/>
        </w:rPr>
        <w:t>connection between the personal and political is</w:t>
      </w:r>
      <w:r w:rsidR="00AA539D">
        <w:rPr>
          <w:rFonts w:ascii="Sylfaen" w:hAnsi="Sylfaen"/>
          <w:sz w:val="24"/>
          <w:szCs w:val="24"/>
        </w:rPr>
        <w:t xml:space="preserve"> </w:t>
      </w:r>
      <w:r w:rsidR="00CC42AD">
        <w:rPr>
          <w:rFonts w:ascii="Sylfaen" w:hAnsi="Sylfaen"/>
          <w:sz w:val="24"/>
          <w:szCs w:val="24"/>
        </w:rPr>
        <w:t>the curricular. (Linton 230)</w:t>
      </w:r>
    </w:p>
    <w:p w:rsidR="00914E54" w:rsidRPr="00914E54" w:rsidRDefault="00914E54" w:rsidP="00A83B8C">
      <w:pPr>
        <w:pStyle w:val="ListParagraph"/>
        <w:numPr>
          <w:ilvl w:val="0"/>
          <w:numId w:val="1"/>
        </w:numPr>
        <w:rPr>
          <w:rFonts w:ascii="Sylfaen" w:hAnsi="Sylfaen"/>
          <w:sz w:val="24"/>
          <w:szCs w:val="24"/>
        </w:rPr>
      </w:pPr>
      <w:r>
        <w:rPr>
          <w:rFonts w:ascii="Sylfaen" w:hAnsi="Sylfaen"/>
          <w:sz w:val="20"/>
          <w:szCs w:val="20"/>
        </w:rPr>
        <w:t>“Although the category is broad, the term is used to designate a specific minority group.”(Linton 225)</w:t>
      </w:r>
    </w:p>
    <w:p w:rsidR="00CC42AD" w:rsidRDefault="00045CBB" w:rsidP="00914E54">
      <w:pPr>
        <w:pStyle w:val="ListParagrap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Even though the people placed in this group are large in numbers, the word </w:t>
      </w:r>
      <w:r>
        <w:rPr>
          <w:rFonts w:ascii="Sylfaen" w:hAnsi="Sylfaen"/>
          <w:i/>
          <w:sz w:val="24"/>
          <w:szCs w:val="24"/>
        </w:rPr>
        <w:t>disability</w:t>
      </w:r>
      <w:r>
        <w:rPr>
          <w:rFonts w:ascii="Sylfaen" w:hAnsi="Sylfaen"/>
          <w:sz w:val="24"/>
          <w:szCs w:val="24"/>
        </w:rPr>
        <w:t xml:space="preserve"> is used to alienate a specific minority group. (Linton 225)</w:t>
      </w:r>
    </w:p>
    <w:p w:rsidR="00914E54" w:rsidRPr="00914E54" w:rsidRDefault="00914E54" w:rsidP="00A83B8C">
      <w:pPr>
        <w:pStyle w:val="ListParagraph"/>
        <w:numPr>
          <w:ilvl w:val="0"/>
          <w:numId w:val="1"/>
        </w:numPr>
        <w:rPr>
          <w:rFonts w:ascii="Sylfaen" w:hAnsi="Sylfaen"/>
          <w:sz w:val="24"/>
          <w:szCs w:val="24"/>
        </w:rPr>
      </w:pPr>
      <w:r>
        <w:rPr>
          <w:rFonts w:ascii="Sylfaen" w:hAnsi="Sylfaen"/>
          <w:sz w:val="20"/>
          <w:szCs w:val="24"/>
        </w:rPr>
        <w:t xml:space="preserve">“A number of professions are built around the word special. A huge infrastructure rests on the idea that </w:t>
      </w:r>
      <w:r>
        <w:rPr>
          <w:rFonts w:ascii="Sylfaen" w:hAnsi="Sylfaen"/>
          <w:i/>
          <w:sz w:val="20"/>
          <w:szCs w:val="24"/>
        </w:rPr>
        <w:t xml:space="preserve">special children </w:t>
      </w:r>
      <w:r>
        <w:rPr>
          <w:rFonts w:ascii="Sylfaen" w:hAnsi="Sylfaen"/>
          <w:sz w:val="20"/>
          <w:szCs w:val="24"/>
        </w:rPr>
        <w:t xml:space="preserve">and </w:t>
      </w:r>
      <w:r>
        <w:rPr>
          <w:rFonts w:ascii="Sylfaen" w:hAnsi="Sylfaen"/>
          <w:i/>
          <w:sz w:val="20"/>
          <w:szCs w:val="24"/>
        </w:rPr>
        <w:t xml:space="preserve">special education </w:t>
      </w:r>
      <w:r>
        <w:rPr>
          <w:rFonts w:ascii="Sylfaen" w:hAnsi="Sylfaen"/>
          <w:sz w:val="20"/>
          <w:szCs w:val="24"/>
        </w:rPr>
        <w:t>are valid and useful structuring ideas” (Linton 226)</w:t>
      </w:r>
    </w:p>
    <w:p w:rsidR="00045CBB" w:rsidRDefault="00241893" w:rsidP="00914E54">
      <w:pPr>
        <w:pStyle w:val="ListParagraph"/>
        <w:rPr>
          <w:rFonts w:ascii="Sylfaen" w:hAnsi="Sylfaen"/>
          <w:sz w:val="24"/>
          <w:szCs w:val="24"/>
        </w:rPr>
      </w:pPr>
      <w:r w:rsidRPr="00914E54">
        <w:rPr>
          <w:rFonts w:ascii="Sylfaen" w:hAnsi="Sylfaen"/>
          <w:sz w:val="24"/>
          <w:szCs w:val="24"/>
        </w:rPr>
        <w:t>Many</w:t>
      </w:r>
      <w:r>
        <w:rPr>
          <w:rFonts w:ascii="Sylfaen" w:hAnsi="Sylfaen"/>
          <w:sz w:val="24"/>
          <w:szCs w:val="24"/>
        </w:rPr>
        <w:t xml:space="preserve"> jobs are structured around the term </w:t>
      </w:r>
      <w:r w:rsidR="00023DF3">
        <w:rPr>
          <w:rFonts w:ascii="Sylfaen" w:hAnsi="Sylfaen"/>
          <w:i/>
          <w:sz w:val="24"/>
          <w:szCs w:val="24"/>
        </w:rPr>
        <w:t xml:space="preserve">special. </w:t>
      </w:r>
      <w:r w:rsidR="00023DF3">
        <w:rPr>
          <w:rFonts w:ascii="Sylfaen" w:hAnsi="Sylfaen"/>
          <w:sz w:val="24"/>
          <w:szCs w:val="24"/>
        </w:rPr>
        <w:t xml:space="preserve">A huge part rests on the idea that </w:t>
      </w:r>
      <w:r w:rsidR="00023DF3">
        <w:rPr>
          <w:rFonts w:ascii="Sylfaen" w:hAnsi="Sylfaen"/>
          <w:i/>
          <w:sz w:val="24"/>
          <w:szCs w:val="24"/>
        </w:rPr>
        <w:t xml:space="preserve">special children </w:t>
      </w:r>
      <w:r w:rsidR="00023DF3">
        <w:rPr>
          <w:rFonts w:ascii="Sylfaen" w:hAnsi="Sylfaen"/>
          <w:sz w:val="24"/>
          <w:szCs w:val="24"/>
        </w:rPr>
        <w:t xml:space="preserve">and </w:t>
      </w:r>
      <w:r w:rsidR="00023DF3">
        <w:rPr>
          <w:rFonts w:ascii="Sylfaen" w:hAnsi="Sylfaen"/>
          <w:i/>
          <w:sz w:val="24"/>
          <w:szCs w:val="24"/>
        </w:rPr>
        <w:t xml:space="preserve">special education </w:t>
      </w:r>
      <w:r w:rsidR="00023DF3">
        <w:rPr>
          <w:rFonts w:ascii="Sylfaen" w:hAnsi="Sylfaen"/>
          <w:sz w:val="24"/>
          <w:szCs w:val="24"/>
        </w:rPr>
        <w:t xml:space="preserve">are righteous and handy ideas to build these kids upon. But the dictionaries say that </w:t>
      </w:r>
      <w:r w:rsidR="00023DF3">
        <w:rPr>
          <w:rFonts w:ascii="Sylfaen" w:hAnsi="Sylfaen"/>
          <w:i/>
          <w:sz w:val="24"/>
          <w:szCs w:val="24"/>
        </w:rPr>
        <w:t xml:space="preserve">special </w:t>
      </w:r>
      <w:r w:rsidR="00023DF3">
        <w:rPr>
          <w:rFonts w:ascii="Sylfaen" w:hAnsi="Sylfaen"/>
          <w:sz w:val="24"/>
          <w:szCs w:val="24"/>
        </w:rPr>
        <w:t>be saved for things that are more than common…” (Linton 226)</w:t>
      </w:r>
    </w:p>
    <w:p w:rsidR="0092260B" w:rsidRPr="0092260B" w:rsidRDefault="0092260B" w:rsidP="00A83B8C">
      <w:pPr>
        <w:pStyle w:val="ListParagraph"/>
        <w:numPr>
          <w:ilvl w:val="0"/>
          <w:numId w:val="1"/>
        </w:numPr>
        <w:rPr>
          <w:rFonts w:ascii="Sylfaen" w:hAnsi="Sylfaen"/>
          <w:sz w:val="24"/>
          <w:szCs w:val="24"/>
        </w:rPr>
      </w:pPr>
      <w:r>
        <w:rPr>
          <w:rFonts w:ascii="Sylfaen" w:hAnsi="Sylfaen"/>
          <w:sz w:val="20"/>
          <w:szCs w:val="20"/>
        </w:rPr>
        <w:t>“The “good” patient is one who does not challenge the authority of the practitioner or institution and who complies with the regimen set out by the expert, in other words a patient.”(Linton 234)</w:t>
      </w:r>
    </w:p>
    <w:p w:rsidR="00023DF3" w:rsidRDefault="00EC746D" w:rsidP="0092260B">
      <w:pPr>
        <w:pStyle w:val="ListParagrap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The “good” patient is someone who doesn’t question people above them, the government, or whoever complies with the rules set out by the expert, in other words, a patient” (Linton 234)</w:t>
      </w:r>
    </w:p>
    <w:p w:rsidR="00B910F5" w:rsidRPr="00B910F5" w:rsidRDefault="0092260B" w:rsidP="00A83B8C">
      <w:pPr>
        <w:pStyle w:val="ListParagraph"/>
        <w:numPr>
          <w:ilvl w:val="0"/>
          <w:numId w:val="1"/>
        </w:numPr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“</w:t>
      </w:r>
      <w:r w:rsidR="00B910F5">
        <w:rPr>
          <w:rFonts w:ascii="Sylfaen" w:hAnsi="Sylfaen"/>
          <w:sz w:val="20"/>
          <w:szCs w:val="20"/>
        </w:rPr>
        <w:t>Woman was, as we see in the profoundly influential works of Aristotle, not the equal opposite of man but a failed version of the supposedly defining type.” (</w:t>
      </w:r>
      <w:proofErr w:type="spellStart"/>
      <w:r w:rsidR="00B910F5">
        <w:rPr>
          <w:rFonts w:ascii="Sylfaen" w:hAnsi="Sylfaen"/>
          <w:sz w:val="20"/>
          <w:szCs w:val="20"/>
        </w:rPr>
        <w:t>Minnich</w:t>
      </w:r>
      <w:proofErr w:type="spellEnd"/>
      <w:r w:rsidR="00B910F5">
        <w:rPr>
          <w:rFonts w:ascii="Sylfaen" w:hAnsi="Sylfaen"/>
          <w:sz w:val="20"/>
          <w:szCs w:val="20"/>
        </w:rPr>
        <w:t xml:space="preserve"> 1990,54)(pg.235)</w:t>
      </w:r>
    </w:p>
    <w:p w:rsidR="00EC746D" w:rsidRDefault="00EC746D" w:rsidP="00B910F5">
      <w:pPr>
        <w:pStyle w:val="ListParagrap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“Women were, or as people see in Aristotle’s works , not an equal opposite of man but a bad version of the supposedly human type” (</w:t>
      </w:r>
      <w:proofErr w:type="spellStart"/>
      <w:r>
        <w:rPr>
          <w:rFonts w:ascii="Sylfaen" w:hAnsi="Sylfaen"/>
          <w:sz w:val="24"/>
          <w:szCs w:val="24"/>
        </w:rPr>
        <w:t>Minnich</w:t>
      </w:r>
      <w:proofErr w:type="spellEnd"/>
      <w:r>
        <w:rPr>
          <w:rFonts w:ascii="Sylfaen" w:hAnsi="Sylfaen"/>
          <w:sz w:val="24"/>
          <w:szCs w:val="24"/>
        </w:rPr>
        <w:t xml:space="preserve"> 1990, 54)</w:t>
      </w:r>
    </w:p>
    <w:p w:rsidR="0092260B" w:rsidRPr="0092260B" w:rsidRDefault="0092260B" w:rsidP="0092260B">
      <w:pPr>
        <w:pStyle w:val="ListParagraph"/>
        <w:numPr>
          <w:ilvl w:val="0"/>
          <w:numId w:val="1"/>
        </w:numPr>
        <w:rPr>
          <w:rFonts w:ascii="Sylfaen" w:hAnsi="Sylfaen"/>
          <w:sz w:val="24"/>
          <w:szCs w:val="24"/>
        </w:rPr>
      </w:pPr>
      <w:r w:rsidRPr="0092260B">
        <w:rPr>
          <w:rFonts w:ascii="Sylfaen" w:hAnsi="Sylfaen"/>
          <w:sz w:val="24"/>
          <w:szCs w:val="24"/>
        </w:rPr>
        <w:lastRenderedPageBreak/>
        <w:t>“</w:t>
      </w:r>
      <w:r w:rsidRPr="0092260B">
        <w:rPr>
          <w:rFonts w:ascii="Sylfaen" w:hAnsi="Sylfaen"/>
          <w:sz w:val="20"/>
          <w:szCs w:val="20"/>
        </w:rPr>
        <w:t>Constructing the axis on which disabled and nondisabled fall will be a critical in marking all points along it.” (Linton 235)</w:t>
      </w:r>
    </w:p>
    <w:p w:rsidR="00EC746D" w:rsidRDefault="0092260B" w:rsidP="0092260B">
      <w:pPr>
        <w:pStyle w:val="ListParagrap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0"/>
          <w:szCs w:val="20"/>
        </w:rPr>
        <w:t xml:space="preserve"> </w:t>
      </w:r>
      <w:r w:rsidR="00EC746D">
        <w:rPr>
          <w:rFonts w:ascii="Sylfaen" w:hAnsi="Sylfaen"/>
          <w:sz w:val="24"/>
          <w:szCs w:val="24"/>
        </w:rPr>
        <w:t>Making a connection between disabled and non-disabled will be a vital step in seeing all points along both lines. (Linton 235)</w:t>
      </w:r>
    </w:p>
    <w:p w:rsidR="00B910F5" w:rsidRPr="00B910F5" w:rsidRDefault="0092260B" w:rsidP="00EC746D">
      <w:pPr>
        <w:pStyle w:val="ListParagraph"/>
        <w:numPr>
          <w:ilvl w:val="0"/>
          <w:numId w:val="1"/>
        </w:numPr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“</w:t>
      </w:r>
      <w:r>
        <w:rPr>
          <w:rFonts w:ascii="Sylfaen" w:hAnsi="Sylfaen"/>
          <w:sz w:val="20"/>
          <w:szCs w:val="20"/>
        </w:rPr>
        <w:t>There is growing recognition that the white, the male, and the heterosexual positions need to be noted and theorized. Similarly, it is important to examine the nondisabled positions</w:t>
      </w:r>
      <w:r w:rsidR="00B910F5">
        <w:rPr>
          <w:rFonts w:ascii="Sylfaen" w:hAnsi="Sylfaen"/>
          <w:sz w:val="20"/>
          <w:szCs w:val="20"/>
        </w:rPr>
        <w:t xml:space="preserve"> and it privilege and power.” (Linton 235)</w:t>
      </w:r>
    </w:p>
    <w:p w:rsidR="00EC746D" w:rsidRDefault="00EC746D" w:rsidP="00B910F5">
      <w:pPr>
        <w:pStyle w:val="ListParagrap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There is much recognition that the white, male, and heterosexual positions need to be seen and reasoned. In a similar way, it’s important to see the non-</w:t>
      </w:r>
      <w:proofErr w:type="spellStart"/>
      <w:r>
        <w:rPr>
          <w:rFonts w:ascii="Sylfaen" w:hAnsi="Sylfaen"/>
          <w:sz w:val="24"/>
          <w:szCs w:val="24"/>
        </w:rPr>
        <w:t>diabled</w:t>
      </w:r>
      <w:proofErr w:type="spellEnd"/>
      <w:r>
        <w:rPr>
          <w:rFonts w:ascii="Sylfaen" w:hAnsi="Sylfaen"/>
          <w:sz w:val="24"/>
          <w:szCs w:val="24"/>
        </w:rPr>
        <w:t xml:space="preserve"> position and how much power they hold. (Linton 235)</w:t>
      </w:r>
    </w:p>
    <w:p w:rsidR="00B910F5" w:rsidRPr="00B910F5" w:rsidRDefault="00EC746D" w:rsidP="00EC746D">
      <w:pPr>
        <w:pStyle w:val="ListParagraph"/>
        <w:numPr>
          <w:ilvl w:val="0"/>
          <w:numId w:val="1"/>
        </w:numPr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“</w:t>
      </w:r>
      <w:r w:rsidR="00B910F5">
        <w:rPr>
          <w:rFonts w:ascii="Sylfaen" w:hAnsi="Sylfaen"/>
          <w:i/>
          <w:sz w:val="20"/>
          <w:szCs w:val="20"/>
        </w:rPr>
        <w:t xml:space="preserve">Dis </w:t>
      </w:r>
      <w:r w:rsidR="00B910F5" w:rsidRPr="00B910F5">
        <w:rPr>
          <w:rFonts w:ascii="Sylfaen" w:hAnsi="Sylfaen"/>
          <w:sz w:val="20"/>
          <w:szCs w:val="20"/>
        </w:rPr>
        <w:t>is the semantic reincarnation of the split between disabled and nondisabled people in society.” (Linton 235)</w:t>
      </w:r>
    </w:p>
    <w:p w:rsidR="00EC746D" w:rsidRDefault="00EC746D" w:rsidP="00B910F5">
      <w:pPr>
        <w:pStyle w:val="ListParagraph"/>
        <w:rPr>
          <w:rFonts w:ascii="Sylfaen" w:hAnsi="Sylfaen"/>
          <w:sz w:val="24"/>
          <w:szCs w:val="24"/>
        </w:rPr>
      </w:pPr>
      <w:r>
        <w:rPr>
          <w:rFonts w:ascii="Sylfaen" w:hAnsi="Sylfaen"/>
          <w:i/>
          <w:sz w:val="24"/>
          <w:szCs w:val="24"/>
        </w:rPr>
        <w:t xml:space="preserve">Dis </w:t>
      </w:r>
      <w:r>
        <w:rPr>
          <w:rFonts w:ascii="Sylfaen" w:hAnsi="Sylfaen"/>
          <w:sz w:val="24"/>
          <w:szCs w:val="24"/>
        </w:rPr>
        <w:t>is the semantic rebirth of the divide between abnormal people and normal people in society” (Linton 235)</w:t>
      </w:r>
    </w:p>
    <w:p w:rsidR="00B910F5" w:rsidRPr="00B910F5" w:rsidRDefault="00B910F5" w:rsidP="00EC746D">
      <w:pPr>
        <w:pStyle w:val="ListParagraph"/>
        <w:numPr>
          <w:ilvl w:val="0"/>
          <w:numId w:val="1"/>
        </w:numPr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“</w:t>
      </w:r>
      <w:r>
        <w:rPr>
          <w:rFonts w:ascii="Sylfaen" w:hAnsi="Sylfaen"/>
          <w:sz w:val="20"/>
          <w:szCs w:val="20"/>
        </w:rPr>
        <w:t xml:space="preserve">It is interesting that AIDS activists intentionally use the phrase </w:t>
      </w:r>
      <w:r>
        <w:rPr>
          <w:rFonts w:ascii="Sylfaen" w:hAnsi="Sylfaen"/>
          <w:i/>
          <w:sz w:val="20"/>
          <w:szCs w:val="20"/>
        </w:rPr>
        <w:t>living with AIDS</w:t>
      </w:r>
      <w:r>
        <w:rPr>
          <w:rFonts w:ascii="Sylfaen" w:hAnsi="Sylfaen"/>
          <w:sz w:val="20"/>
          <w:szCs w:val="20"/>
        </w:rPr>
        <w:t xml:space="preserve"> rather than </w:t>
      </w:r>
      <w:r>
        <w:rPr>
          <w:rFonts w:ascii="Sylfaen" w:hAnsi="Sylfaen"/>
          <w:i/>
          <w:sz w:val="20"/>
          <w:szCs w:val="20"/>
        </w:rPr>
        <w:t>dying from AIDS</w:t>
      </w:r>
      <w:r>
        <w:rPr>
          <w:rFonts w:ascii="Sylfaen" w:hAnsi="Sylfaen"/>
          <w:sz w:val="20"/>
          <w:szCs w:val="20"/>
        </w:rPr>
        <w:t>, not to deny the reality of AIDS but to emphasize that people are often actively engaged in living even in the face of a serious illness.” Linton 233)</w:t>
      </w:r>
    </w:p>
    <w:p w:rsidR="00EC746D" w:rsidRPr="00EC746D" w:rsidRDefault="009571C7" w:rsidP="00B910F5">
      <w:pPr>
        <w:pStyle w:val="ListParagrap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“It is interesting that AIDS activist use phrases </w:t>
      </w:r>
      <w:r>
        <w:rPr>
          <w:rFonts w:ascii="Sylfaen" w:hAnsi="Sylfaen"/>
          <w:i/>
          <w:sz w:val="24"/>
          <w:szCs w:val="24"/>
        </w:rPr>
        <w:t xml:space="preserve">living with AIDS </w:t>
      </w:r>
      <w:r>
        <w:rPr>
          <w:rFonts w:ascii="Sylfaen" w:hAnsi="Sylfaen"/>
          <w:sz w:val="24"/>
          <w:szCs w:val="24"/>
        </w:rPr>
        <w:t xml:space="preserve">and not </w:t>
      </w:r>
      <w:r>
        <w:rPr>
          <w:rFonts w:ascii="Sylfaen" w:hAnsi="Sylfaen"/>
          <w:i/>
          <w:sz w:val="24"/>
          <w:szCs w:val="24"/>
        </w:rPr>
        <w:t>dying of AIDS</w:t>
      </w:r>
      <w:r>
        <w:rPr>
          <w:rFonts w:ascii="Sylfaen" w:hAnsi="Sylfaen"/>
          <w:sz w:val="24"/>
          <w:szCs w:val="24"/>
        </w:rPr>
        <w:t>, not to take away the truth of AIDS but to focus that people are really seeing themselves living even though they have a serious illness.” (Linton 233)</w:t>
      </w:r>
    </w:p>
    <w:sectPr w:rsidR="00EC746D" w:rsidRPr="00EC74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165C2"/>
    <w:multiLevelType w:val="hybridMultilevel"/>
    <w:tmpl w:val="93B297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348"/>
    <w:rsid w:val="00023DF3"/>
    <w:rsid w:val="00045CBB"/>
    <w:rsid w:val="00241893"/>
    <w:rsid w:val="003A094F"/>
    <w:rsid w:val="00746348"/>
    <w:rsid w:val="00805440"/>
    <w:rsid w:val="00914E54"/>
    <w:rsid w:val="0092260B"/>
    <w:rsid w:val="009571C7"/>
    <w:rsid w:val="00A83B8C"/>
    <w:rsid w:val="00AA539D"/>
    <w:rsid w:val="00B3699D"/>
    <w:rsid w:val="00B910F5"/>
    <w:rsid w:val="00C81870"/>
    <w:rsid w:val="00CC42AD"/>
    <w:rsid w:val="00DA5C35"/>
    <w:rsid w:val="00EC7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3B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3B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226FA-0C6F-4B04-B41A-E87D64228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594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5</cp:revision>
  <dcterms:created xsi:type="dcterms:W3CDTF">2010-09-06T21:24:00Z</dcterms:created>
  <dcterms:modified xsi:type="dcterms:W3CDTF">2010-09-08T12:48:00Z</dcterms:modified>
</cp:coreProperties>
</file>